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Chars="0"/>
        <w:jc w:val="center"/>
      </w:pPr>
      <w:bookmarkStart w:id="0" w:name="_Toc11052"/>
      <w:bookmarkStart w:id="1" w:name="_Toc3982"/>
      <w:r>
        <w:rPr>
          <w:rFonts w:hint="eastAsia" w:ascii="仿宋" w:hAnsi="仿宋" w:eastAsia="仿宋" w:cs="仿宋"/>
          <w:lang w:val="en-US" w:eastAsia="zh-CN"/>
        </w:rPr>
        <w:t>谈判参选</w:t>
      </w:r>
      <w:r>
        <w:rPr>
          <w:rFonts w:hint="eastAsia" w:ascii="仿宋" w:hAnsi="仿宋" w:eastAsia="仿宋" w:cs="仿宋"/>
        </w:rPr>
        <w:t>函</w:t>
      </w:r>
      <w:bookmarkEnd w:id="0"/>
      <w:bookmarkEnd w:id="1"/>
    </w:p>
    <w:p/>
    <w:p>
      <w:pP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四川水发建设有限公司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l．我们收到并研究了贵单位发出的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建筑施工企业安全生产责任险采购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，除在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谈判参选</w:t>
      </w:r>
      <w:r>
        <w:rPr>
          <w:rFonts w:hint="eastAsia" w:ascii="仿宋" w:hAnsi="仿宋" w:eastAsia="仿宋" w:cs="仿宋"/>
          <w:sz w:val="28"/>
          <w:szCs w:val="28"/>
        </w:rPr>
        <w:t>文件中明确提出的差异外，我们对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的全部内容予以确认，愿意按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的规定承担该工程的安全生产责任险承保工作，严格执行我们所承诺的责任和义务。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2．我们承认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谈判参选文件</w:t>
      </w:r>
      <w:r>
        <w:rPr>
          <w:rFonts w:hint="eastAsia" w:ascii="仿宋" w:hAnsi="仿宋" w:eastAsia="仿宋" w:cs="仿宋"/>
          <w:sz w:val="28"/>
          <w:szCs w:val="28"/>
        </w:rPr>
        <w:t>、根据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所提供的其他所有文件为我们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谈判参选文件</w:t>
      </w:r>
      <w:r>
        <w:rPr>
          <w:rFonts w:hint="eastAsia" w:ascii="仿宋" w:hAnsi="仿宋" w:eastAsia="仿宋" w:cs="仿宋"/>
          <w:sz w:val="28"/>
          <w:szCs w:val="28"/>
        </w:rPr>
        <w:t>的组成部分，并愿意根据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修改其中的任何缺陷。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3．如果我们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在竞争性谈判中胜选</w:t>
      </w:r>
      <w:r>
        <w:rPr>
          <w:rFonts w:hint="eastAsia" w:ascii="仿宋" w:hAnsi="仿宋" w:eastAsia="仿宋" w:cs="仿宋"/>
          <w:sz w:val="28"/>
          <w:szCs w:val="28"/>
        </w:rPr>
        <w:t>，我们保证按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的要求和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签订合同，并选派合格人员实施该合同。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4．我们同意在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有效期内遵守本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谈判参选文件</w:t>
      </w:r>
      <w:r>
        <w:rPr>
          <w:rFonts w:hint="eastAsia" w:ascii="仿宋" w:hAnsi="仿宋" w:eastAsia="仿宋" w:cs="仿宋"/>
          <w:sz w:val="28"/>
          <w:szCs w:val="28"/>
        </w:rPr>
        <w:t>，在此期限期满之前的任何时间，本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谈判参选文件</w:t>
      </w:r>
      <w:r>
        <w:rPr>
          <w:rFonts w:hint="eastAsia" w:ascii="仿宋" w:hAnsi="仿宋" w:eastAsia="仿宋" w:cs="仿宋"/>
          <w:sz w:val="28"/>
          <w:szCs w:val="28"/>
        </w:rPr>
        <w:t>一直对我们具有约束力。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5．我们声明本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竞争性谈判参选</w:t>
      </w:r>
      <w:r>
        <w:rPr>
          <w:rFonts w:hint="eastAsia" w:ascii="仿宋" w:hAnsi="仿宋" w:eastAsia="仿宋" w:cs="仿宋"/>
          <w:sz w:val="28"/>
          <w:szCs w:val="28"/>
        </w:rPr>
        <w:t>报价已考虑了所有因素，在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参选谈判</w:t>
      </w:r>
      <w:r>
        <w:rPr>
          <w:rFonts w:hint="eastAsia" w:ascii="仿宋" w:hAnsi="仿宋" w:eastAsia="仿宋" w:cs="仿宋"/>
          <w:sz w:val="28"/>
          <w:szCs w:val="28"/>
        </w:rPr>
        <w:t>有效期内保持价格不变。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6．在签订和执行正式合同之前，本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谈判参选文件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sz w:val="28"/>
          <w:szCs w:val="28"/>
        </w:rPr>
        <w:t>连同你方书面的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竞争性谈判胜选</w:t>
      </w:r>
      <w:r>
        <w:rPr>
          <w:rFonts w:hint="eastAsia" w:ascii="仿宋" w:hAnsi="仿宋" w:eastAsia="仿宋" w:cs="仿宋"/>
          <w:sz w:val="28"/>
          <w:szCs w:val="28"/>
        </w:rPr>
        <w:t>通知书，对我们双方之间均有约束力。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7．我们理解如果我们未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谈判胜选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你方将不负担我们任何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竞争性谈判相关</w:t>
      </w:r>
      <w:r>
        <w:rPr>
          <w:rFonts w:hint="eastAsia" w:ascii="仿宋" w:hAnsi="仿宋" w:eastAsia="仿宋" w:cs="仿宋"/>
          <w:sz w:val="28"/>
          <w:szCs w:val="28"/>
        </w:rPr>
        <w:t>费用。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 我们认为你们在授予合同前，有选择或拒绝部分甚至全部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 w:val="28"/>
          <w:szCs w:val="28"/>
        </w:rPr>
        <w:t>的权利，并同意你们对所采取的行为不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仿宋"/>
          <w:sz w:val="28"/>
          <w:szCs w:val="28"/>
        </w:rPr>
        <w:t>任何解释。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 如果我们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在竞争性谈判中胜选</w:t>
      </w:r>
      <w:r>
        <w:rPr>
          <w:rFonts w:hint="eastAsia" w:ascii="仿宋" w:hAnsi="仿宋" w:eastAsia="仿宋" w:cs="仿宋"/>
          <w:sz w:val="28"/>
          <w:szCs w:val="28"/>
        </w:rPr>
        <w:t>，在合同执行阶段不以任何理由提出涨价、降低标准等影响投资方利益和工程进展的要求。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 我方承诺在本项目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过程中使用的或许诺使用的任何服务，不会产生因第三方提出侵犯其专利权、商标权或其它知识产权而引起的法律和经济纠纷。如因专利权、商标权或其它知识产权而引起法律和经济纠纷，由此给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带来的一切责任与经济损失，均由我方承担。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.我方在此声明，所递交的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谈判参选文件</w:t>
      </w:r>
      <w:r>
        <w:rPr>
          <w:rFonts w:hint="eastAsia" w:ascii="仿宋" w:hAnsi="仿宋" w:eastAsia="仿宋" w:cs="仿宋"/>
          <w:sz w:val="28"/>
          <w:szCs w:val="28"/>
        </w:rPr>
        <w:t>及有关资料内容完整、真实和准确。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（其他补充说明）。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盖单位章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授权代表人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邮政编码：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四川</w:t>
      </w:r>
      <w:r>
        <w:rPr>
          <w:rFonts w:hint="eastAsia" w:ascii="仿宋" w:hAnsi="仿宋" w:eastAsia="仿宋" w:cs="仿宋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szCs w:val="28"/>
          <w:highlight w:val="none"/>
        </w:rPr>
        <w:t>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  <w:highlight w:val="none"/>
        </w:rPr>
        <w:t>（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响应人总公司</w:t>
      </w:r>
      <w:r>
        <w:rPr>
          <w:rFonts w:hint="eastAsia" w:ascii="仿宋" w:hAnsi="仿宋" w:eastAsia="仿宋" w:cs="仿宋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  <w:highlight w:val="none"/>
        </w:rPr>
        <w:t>（身份证号码）为采购人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宁南县城乡供水保障工程项目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>安全生产责任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保险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活</w:t>
      </w:r>
      <w:r>
        <w:rPr>
          <w:rFonts w:hint="eastAsia" w:ascii="仿宋" w:hAnsi="仿宋" w:eastAsia="仿宋" w:cs="仿宋"/>
          <w:szCs w:val="28"/>
          <w:highlight w:val="none"/>
        </w:rPr>
        <w:t>动的合法特别授权代表，以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szCs w:val="28"/>
          <w:highlight w:val="none"/>
        </w:rPr>
        <w:t>、谈判、签订及履行合同等一切相关事宜。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授权有效期为</w:t>
      </w:r>
      <w:r>
        <w:rPr>
          <w:rFonts w:hint="eastAsia" w:ascii="仿宋" w:hAnsi="仿宋" w:eastAsia="仿宋" w:cs="仿宋"/>
          <w:szCs w:val="28"/>
          <w:highlight w:val="none"/>
          <w:lang w:val="en-US" w:eastAsia="zh-CN"/>
        </w:rPr>
        <w:t>90天。</w:t>
      </w:r>
      <w:r>
        <w:rPr>
          <w:rFonts w:hint="eastAsia" w:ascii="仿宋" w:hAnsi="仿宋" w:eastAsia="仿宋" w:cs="仿宋"/>
          <w:szCs w:val="28"/>
          <w:highlight w:val="none"/>
        </w:rPr>
        <w:t>该特别授权代表所签署的文件、资料和谈判过程中所作的表态等我单位均予以认可。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Cs w:val="28"/>
          <w:highlight w:val="none"/>
        </w:rPr>
        <w:t>特此授权。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    应    人</w:t>
      </w:r>
      <w:r>
        <w:rPr>
          <w:rFonts w:hint="eastAsia" w:ascii="仿宋" w:hAnsi="仿宋" w:eastAsia="仿宋" w:cs="仿宋"/>
          <w:sz w:val="28"/>
          <w:szCs w:val="28"/>
        </w:rPr>
        <w:t>：（公章）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签字：</w:t>
      </w:r>
    </w:p>
    <w:p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2JmOWFhOGIwODQzNDU2NmYzZTIxNmNkOTZhOTUifQ=="/>
  </w:docVars>
  <w:rsids>
    <w:rsidRoot w:val="6B7732ED"/>
    <w:rsid w:val="04CB0EC2"/>
    <w:rsid w:val="0EAE3C45"/>
    <w:rsid w:val="236731CF"/>
    <w:rsid w:val="3FA35C2E"/>
    <w:rsid w:val="68C47A98"/>
    <w:rsid w:val="6AC5152E"/>
    <w:rsid w:val="6B77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4"/>
    <w:autoRedefine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paragraph" w:styleId="2">
    <w:name w:val="heading 4"/>
    <w:basedOn w:val="1"/>
    <w:next w:val="1"/>
    <w:autoRedefine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2024-01-18T01:49:00Z</dcterms:created>
  <dc:creator>京墨</dc:creator>
  <cp:lastModifiedBy>晶晶</cp:lastModifiedBy>
  <dcterms:modified xsi:type="dcterms:W3CDTF">2024-03-11T07:05:04Z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43BCF755DD4349A38C1071546F1BAF22_11</vt:lpwstr>
  </property>
</Properties>
</file>