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  <w:t>法人授权书</w:t>
      </w:r>
    </w:p>
    <w:bookmarkEnd w:id="0"/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(身份证号码）授权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（身份证号码）为采购人“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>冕宁县红旗堰灌区2023-2025年续建配套与节水改造项目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”钢材比选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参   选   人：（公章）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日    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0323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cs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2023-09-25T02:37:43Z</dcterms:created>
  <dc:creator>Administrator</dc:creator>
  <cp:lastModifiedBy>杨华英</cp:lastModifiedBy>
  <dcterms:modified xsi:type="dcterms:W3CDTF">2023-09-25T02:37:59Z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9F78F1B034FF491AA338A2881B69D06F_12</vt:lpwstr>
  </property>
</Properties>
</file>